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Calibri" w:hAnsi="Calibri" w:eastAsia="Source Han Sans"/>
          <w:b/>
          <w:color w:val="8B6914"/>
          <w:sz w:val="32"/>
        </w:rPr>
        <w:t>Homework, Class Eight · 第八堂课作业</w:t>
      </w:r>
    </w:p>
    <w:p>
      <w:r>
        <w:rPr>
          <w:rFonts w:ascii="Calibri" w:hAnsi="Calibri" w:eastAsia="Source Han Sans"/>
          <w:color w:val="7A6A4F"/>
          <w:sz w:val="22"/>
        </w:rPr>
        <w:t>ACI Course 7 — The Vows of the Bodhisattva · Class 8 · 作業</w:t>
      </w:r>
    </w:p>
    <w:p/>
    <w:p>
      <w:r>
        <w:rPr>
          <w:rFonts w:ascii="Calibri" w:hAnsi="Calibri" w:eastAsia="Source Han Sans"/>
          <w:b/>
          <w:color w:val="8B6914"/>
          <w:sz w:val="24"/>
        </w:rPr>
        <w:t xml:space="preserve">1) </w:t>
      </w:r>
    </w:p>
    <w:p>
      <w:r>
        <w:rPr>
          <w:rFonts w:ascii="Calibri" w:hAnsi="Calibri"/>
          <w:i/>
          <w:color w:val="7A6A4F"/>
          <w:sz w:val="21"/>
        </w:rPr>
        <w:t>Name the four points of the practice of virtue. (Tibetan track in Tibetan.)</w:t>
        <w:br/>
        <w:br/>
        <w:t>a)</w:t>
        <w:br/>
        <w:br/>
        <w:t>b)</w:t>
        <w:br/>
        <w:br/>
        <w:t>c)</w:t>
        <w:br/>
        <w:br/>
        <w:t>d)</w:t>
      </w:r>
    </w:p>
    <w:p>
      <w:r>
        <w:rPr>
          <w:rFonts w:ascii="Calibri" w:hAnsi="Calibri" w:eastAsia="Source Han Sans"/>
          <w:sz w:val="22"/>
        </w:rPr>
        <w:t>说出修练善行的四个要点。（藏文班请以藏文作答。）</w:t>
        <w:br/>
        <w:br/>
        <w:t>a)</w:t>
        <w:br/>
        <w:br/>
        <w:t>b)</w:t>
        <w:br/>
        <w:br/>
        <w:t>c)</w:t>
        <w:br/>
        <w:br/>
        <w:t>d)</w:t>
      </w:r>
    </w:p>
    <w:p>
      <w:pPr>
        <w:spacing w:after="200"/>
        <w:pBdr>
          <w:bottom w:val="single" w:sz="4" w:space="1" w:color="cccccc"/>
        </w:pBdr>
      </w:pPr>
    </w:p>
    <w:p>
      <w:pPr>
        <w:spacing w:after="200"/>
        <w:pBdr>
          <w:bottom w:val="single" w:sz="4" w:space="1" w:color="cccccc"/>
        </w:pBdr>
      </w:pPr>
    </w:p>
    <w:p>
      <w:pPr>
        <w:spacing w:after="200"/>
        <w:pBdr>
          <w:bottom w:val="single" w:sz="4" w:space="1" w:color="cccccc"/>
        </w:pBdr>
      </w:pPr>
    </w:p>
    <w:p>
      <w:r>
        <w:rPr>
          <w:rFonts w:ascii="Calibri" w:hAnsi="Calibri" w:eastAsia="Source Han Sans"/>
          <w:b/>
          <w:color w:val="8B6914"/>
          <w:sz w:val="24"/>
        </w:rPr>
        <w:t xml:space="preserve">2) </w:t>
      </w:r>
    </w:p>
    <w:p>
      <w:r>
        <w:rPr>
          <w:rFonts w:ascii="Calibri" w:hAnsi="Calibri"/>
          <w:i/>
          <w:color w:val="7A6A4F"/>
          <w:sz w:val="21"/>
        </w:rPr>
        <w:t>Name the five obstacles to meditation and describe them briefly. (Tibetan track name in Tibetan and describe in English.)</w:t>
        <w:br/>
        <w:br/>
        <w:t>a)</w:t>
        <w:br/>
        <w:br/>
        <w:t>b)</w:t>
        <w:br/>
        <w:br/>
        <w:t>c)</w:t>
        <w:br/>
        <w:br/>
        <w:t>d)</w:t>
        <w:br/>
        <w:br/>
        <w:t>e)</w:t>
      </w:r>
    </w:p>
    <w:p>
      <w:r>
        <w:rPr>
          <w:rFonts w:ascii="Calibri" w:hAnsi="Calibri" w:eastAsia="Source Han Sans"/>
          <w:sz w:val="22"/>
        </w:rPr>
        <w:t>说出冥想的五种障碍，并简要描述它们。（藏文班请以藏文写出名称、以英文描述。）</w:t>
        <w:br/>
        <w:br/>
        <w:t>a)</w:t>
        <w:br/>
        <w:br/>
        <w:t>b)</w:t>
        <w:br/>
        <w:br/>
        <w:t>c)</w:t>
        <w:br/>
        <w:br/>
        <w:t>d)</w:t>
        <w:br/>
        <w:br/>
        <w:t>e)</w:t>
      </w:r>
    </w:p>
    <w:p>
      <w:pPr>
        <w:spacing w:after="200"/>
        <w:pBdr>
          <w:bottom w:val="single" w:sz="4" w:space="1" w:color="cccccc"/>
        </w:pBdr>
      </w:pPr>
    </w:p>
    <w:p>
      <w:pPr>
        <w:spacing w:after="200"/>
        <w:pBdr>
          <w:bottom w:val="single" w:sz="4" w:space="1" w:color="cccccc"/>
        </w:pBdr>
      </w:pPr>
    </w:p>
    <w:p>
      <w:pPr>
        <w:spacing w:after="200"/>
        <w:pBdr>
          <w:bottom w:val="single" w:sz="4" w:space="1" w:color="cccccc"/>
        </w:pBdr>
      </w:pPr>
    </w:p>
    <w:p>
      <w:r>
        <w:rPr>
          <w:rFonts w:ascii="Calibri" w:hAnsi="Calibri" w:eastAsia="Source Han Sans"/>
          <w:b/>
          <w:color w:val="8B6914"/>
          <w:sz w:val="24"/>
        </w:rPr>
        <w:t xml:space="preserve">3) </w:t>
      </w:r>
    </w:p>
    <w:p>
      <w:r>
        <w:rPr>
          <w:rFonts w:ascii="Calibri" w:hAnsi="Calibri"/>
          <w:i/>
          <w:color w:val="7A6A4F"/>
          <w:sz w:val="21"/>
        </w:rPr>
        <w:t>Describe the kind of bodhisattva who can engage in serious study of hinayana and non-Buddhist teachings without breaking a bodhisattva vow.</w:t>
      </w:r>
    </w:p>
    <w:p>
      <w:r>
        <w:rPr>
          <w:rFonts w:ascii="Calibri" w:hAnsi="Calibri" w:eastAsia="Source Han Sans"/>
          <w:sz w:val="22"/>
        </w:rPr>
        <w:t>描述什么样的菩萨可以认真研读小乘道和非佛教的教法，而不会因此犯下菩萨戒。</w:t>
      </w:r>
    </w:p>
    <w:p>
      <w:pPr>
        <w:spacing w:after="200"/>
        <w:pBdr>
          <w:bottom w:val="single" w:sz="4" w:space="1" w:color="cccccc"/>
        </w:pBdr>
      </w:pPr>
    </w:p>
    <w:p>
      <w:pPr>
        <w:spacing w:after="200"/>
        <w:pBdr>
          <w:bottom w:val="single" w:sz="4" w:space="1" w:color="cccccc"/>
        </w:pBdr>
      </w:pPr>
    </w:p>
    <w:p>
      <w:pPr>
        <w:spacing w:after="200"/>
        <w:pBdr>
          <w:bottom w:val="single" w:sz="4" w:space="1" w:color="cccccc"/>
        </w:pBdr>
      </w:pPr>
    </w:p>
    <w:p>
      <w:r>
        <w:rPr>
          <w:rFonts w:ascii="Calibri" w:hAnsi="Calibri" w:eastAsia="Source Han Sans"/>
          <w:b/>
          <w:color w:val="8B6914"/>
          <w:sz w:val="24"/>
        </w:rPr>
        <w:t xml:space="preserve">4) </w:t>
      </w:r>
    </w:p>
    <w:p>
      <w:r>
        <w:rPr>
          <w:rFonts w:ascii="Calibri" w:hAnsi="Calibri"/>
          <w:i/>
          <w:color w:val="7A6A4F"/>
          <w:sz w:val="21"/>
        </w:rPr>
        <w:t>Describe the four ways in which a person may make the mistake of rejecting a mahayana teaching.</w:t>
        <w:br/>
        <w:br/>
        <w:t>a)</w:t>
        <w:br/>
        <w:br/>
        <w:t>b)</w:t>
        <w:br/>
        <w:br/>
        <w:t>c)</w:t>
        <w:br/>
        <w:br/>
        <w:t>d)</w:t>
      </w:r>
    </w:p>
    <w:p>
      <w:r>
        <w:rPr>
          <w:rFonts w:ascii="Calibri" w:hAnsi="Calibri" w:eastAsia="Source Han Sans"/>
          <w:sz w:val="22"/>
        </w:rPr>
        <w:t>描述一个人可能犯下“放弃大乘教法”这个错误的四种方式。</w:t>
        <w:br/>
        <w:br/>
        <w:t>a)</w:t>
        <w:br/>
        <w:br/>
        <w:t>b)</w:t>
        <w:br/>
        <w:br/>
        <w:t>c)</w:t>
        <w:br/>
        <w:br/>
        <w:t>d)</w:t>
      </w:r>
    </w:p>
    <w:p>
      <w:pPr>
        <w:spacing w:after="200"/>
        <w:pBdr>
          <w:bottom w:val="single" w:sz="4" w:space="1" w:color="cccccc"/>
        </w:pBdr>
      </w:pPr>
    </w:p>
    <w:p>
      <w:pPr>
        <w:spacing w:after="200"/>
        <w:pBdr>
          <w:bottom w:val="single" w:sz="4" w:space="1" w:color="cccccc"/>
        </w:pBdr>
      </w:pPr>
    </w:p>
    <w:p>
      <w:pPr>
        <w:spacing w:after="200"/>
        <w:pBdr>
          <w:bottom w:val="single" w:sz="4" w:space="1" w:color="cccccc"/>
        </w:pBdr>
      </w:pPr>
    </w:p>
    <w:p>
      <w:r>
        <w:rPr>
          <w:rFonts w:ascii="Calibri" w:hAnsi="Calibri" w:eastAsia="Source Han Sans"/>
          <w:b/>
          <w:color w:val="8B6914"/>
          <w:sz w:val="24"/>
        </w:rPr>
        <w:t xml:space="preserve">5) </w:t>
      </w:r>
    </w:p>
    <w:p>
      <w:r>
        <w:rPr>
          <w:rFonts w:ascii="Calibri" w:hAnsi="Calibri"/>
          <w:i/>
          <w:color w:val="7A6A4F"/>
          <w:sz w:val="21"/>
        </w:rPr>
        <w:t>Explain what the Protector, Maitreya, advises us to do if we find that some Buddhist teaching doesn't suit us for now.</w:t>
      </w:r>
    </w:p>
    <w:p>
      <w:r>
        <w:rPr>
          <w:rFonts w:ascii="Calibri" w:hAnsi="Calibri" w:eastAsia="Source Han Sans"/>
          <w:sz w:val="22"/>
        </w:rPr>
        <w:t>如果我们发现某个佛法教授目前并不适合自己，解释守护者弥勒尊者建议我们怎么做。</w:t>
      </w:r>
    </w:p>
    <w:p>
      <w:pPr>
        <w:spacing w:after="200"/>
        <w:pBdr>
          <w:bottom w:val="single" w:sz="4" w:space="1" w:color="cccccc"/>
        </w:pBdr>
      </w:pPr>
    </w:p>
    <w:p>
      <w:pPr>
        <w:spacing w:after="200"/>
        <w:pBdr>
          <w:bottom w:val="single" w:sz="4" w:space="1" w:color="cccccc"/>
        </w:pBdr>
      </w:pPr>
    </w:p>
    <w:p>
      <w:pPr>
        <w:spacing w:after="200"/>
        <w:pBdr>
          <w:bottom w:val="single" w:sz="4" w:space="1" w:color="cccccc"/>
        </w:pBdr>
      </w:pPr>
    </w:p>
    <w:p/>
    <w:tbl>
      <w:tblPr>
        <w:tblStyle w:val="TableGrid"/>
        <w:tblW w:type="auto" w:w="0"/>
        <w:tblLook w:firstColumn="1" w:firstRow="1" w:lastColumn="0" w:lastRow="0" w:noHBand="0" w:noVBand="1" w:val="04A0"/>
      </w:tblPr>
      <w:tblGrid>
        <w:gridCol w:w="9360"/>
      </w:tblGrid>
      <w:tr>
        <w:tc>
          <w:tcPr>
            <w:tcW w:type="dxa" w:w="9360"/>
            <w:tcBorders>
              <w:top w:val="single" w:sz="18" w:color="e74c3c"/>
              <w:left w:val="single" w:sz="4" w:color="e8d9a8"/>
              <w:bottom w:val="single" w:sz="4" w:color="e8d9a8"/>
              <w:right w:val="single" w:sz="4" w:color="e8d9a8"/>
            </w:tcBorders>
          </w:tcPr>
          <w:p>
            <w:r>
              <w:rPr>
                <w:rFonts w:ascii="Calibri" w:hAnsi="Calibri"/>
                <w:i/>
                <w:color w:val="7A6A4F"/>
                <w:sz w:val="21"/>
              </w:rPr>
              <w:t>EN</w:t>
            </w:r>
          </w:p>
          <w:p>
            <w:r>
              <w:rPr>
                <w:rFonts w:ascii="Calibri" w:hAnsi="Calibri"/>
                <w:i/>
                <w:color w:val="7A6A4F"/>
                <w:sz w:val="21"/>
              </w:rPr>
              <w:t>Meditation assignment: Analytical meditation, 15 minutes per day, on the 17th to the 34th secondary offences, and how close you have come to each of them in the past 24 hours. If necessary rotate between them in different sessions.</w:t>
            </w:r>
          </w:p>
          <w:p>
            <w:r>
              <w:rPr>
                <w:rFonts w:ascii="Calibri" w:hAnsi="Calibri"/>
                <w:i/>
                <w:color w:val="7A6A4F"/>
                <w:sz w:val="21"/>
              </w:rPr>
              <w:t>Meditation dates and times (homework without these will not be accepted):</w:t>
            </w:r>
          </w:p>
          <w:p>
            <w:r>
              <w:rPr>
                <w:rFonts w:ascii="Calibri" w:hAnsi="Calibri" w:eastAsia="Source Han Sans"/>
                <w:sz w:val="22"/>
              </w:rPr>
              <w:t>中</w:t>
            </w:r>
          </w:p>
          <w:p>
            <w:r>
              <w:rPr>
                <w:rFonts w:ascii="Calibri" w:hAnsi="Calibri" w:eastAsia="Source Han Sans"/>
                <w:sz w:val="22"/>
              </w:rPr>
              <w:t>冥想作业：每天 15 分钟分析式冥想，对象是第 17 条到第 34 条次要违犯（恶作），以及在过去 24 小时里，你离每一条有多近。如果需要，就在不同次的冥想里轮流。</w:t>
            </w:r>
          </w:p>
          <w:p>
            <w:r>
              <w:rPr>
                <w:rFonts w:ascii="Calibri" w:hAnsi="Calibri" w:eastAsia="Source Han Sans"/>
                <w:sz w:val="22"/>
              </w:rPr>
              <w:t>冥想的日期与时间（没有填写的作业不予受理）：</w:t>
            </w:r>
          </w:p>
          <w:p>
            <w:pPr>
              <w:pBdr>
                <w:bottom w:val="single" w:sz="4" w:space="1" w:color="cccccc"/>
              </w:pBdr>
            </w:pPr>
          </w:p>
          <w:p>
            <w:pPr>
              <w:pBdr>
                <w:bottom w:val="single" w:sz="4" w:space="1" w:color="cccccc"/>
              </w:pBdr>
            </w:pPr>
          </w:p>
        </w:tc>
      </w:tr>
    </w:tbl>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